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</w:p>
    <w:p w:rsidR="0097436A" w:rsidRPr="00F84EFD" w:rsidRDefault="0097436A" w:rsidP="009743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EFD">
        <w:rPr>
          <w:rFonts w:ascii="Times New Roman" w:hAnsi="Times New Roman" w:cs="Times New Roman"/>
          <w:b/>
          <w:bCs/>
          <w:sz w:val="20"/>
          <w:szCs w:val="20"/>
        </w:rPr>
        <w:t>KEYNOTE TALKS</w:t>
      </w:r>
    </w:p>
    <w:p w:rsidR="0097436A" w:rsidRPr="00F84EFD" w:rsidRDefault="0097436A" w:rsidP="0097436A">
      <w:pPr>
        <w:jc w:val="center"/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b/>
          <w:bCs/>
          <w:sz w:val="20"/>
          <w:szCs w:val="20"/>
        </w:rPr>
        <w:t>LANGUAGE</w:t>
      </w:r>
      <w:r w:rsidR="00F84EFD"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4EFD">
        <w:rPr>
          <w:rFonts w:ascii="Times New Roman" w:hAnsi="Times New Roman" w:cs="Times New Roman"/>
          <w:b/>
          <w:bCs/>
          <w:sz w:val="20"/>
          <w:szCs w:val="20"/>
        </w:rPr>
        <w:t>&amp;</w:t>
      </w:r>
      <w:r w:rsidR="00F84EFD"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4EFD">
        <w:rPr>
          <w:rFonts w:ascii="Times New Roman" w:hAnsi="Times New Roman" w:cs="Times New Roman"/>
          <w:b/>
          <w:bCs/>
          <w:sz w:val="20"/>
          <w:szCs w:val="20"/>
        </w:rPr>
        <w:t>LAW 2017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Prof. </w:t>
      </w:r>
      <w:proofErr w:type="spellStart"/>
      <w:r w:rsidRPr="00F84EFD">
        <w:rPr>
          <w:rFonts w:ascii="Times New Roman" w:hAnsi="Times New Roman" w:cs="Times New Roman"/>
          <w:b/>
          <w:bCs/>
          <w:sz w:val="20"/>
          <w:szCs w:val="20"/>
        </w:rPr>
        <w:t>Vijay</w:t>
      </w:r>
      <w:proofErr w:type="spellEnd"/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 Kumar </w:t>
      </w:r>
      <w:proofErr w:type="spellStart"/>
      <w:r w:rsidRPr="00F84EFD">
        <w:rPr>
          <w:rFonts w:ascii="Times New Roman" w:hAnsi="Times New Roman" w:cs="Times New Roman"/>
          <w:b/>
          <w:bCs/>
          <w:sz w:val="20"/>
          <w:szCs w:val="20"/>
        </w:rPr>
        <w:t>Bhatia</w:t>
      </w:r>
      <w:proofErr w:type="spellEnd"/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RECONCEPTUALISING TEACHING OF LEGAL COMMUNICATION: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INSIGHTS FROM CRITICAL GENRE THEORY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uniquely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interdiscursive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nature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in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sense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genres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share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same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concerns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constraints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in,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conventions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legislative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provisions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i.e.,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essentially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meant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be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clear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precise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unambiguous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-inclusive,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whether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we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consider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courtroom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interactions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briefs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judgments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court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case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contracts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agreements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affidavits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notion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interdiscursivity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rarely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exploited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teaching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learning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Drawing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critical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genre as ‘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interdiscursive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performance’ (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Bhatia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2017) I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would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like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demonstrate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interdiscursivity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exploited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professional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pedagogical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training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b/>
          <w:bCs/>
          <w:sz w:val="20"/>
          <w:szCs w:val="20"/>
        </w:rPr>
        <w:t>References</w:t>
      </w:r>
      <w:proofErr w:type="spellEnd"/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Bhatia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Vijay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K., (2017). </w:t>
      </w:r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Critical Genre Analysis: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Investigating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Interdiscursive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Performance in Professional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Contexts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London,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Professor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Vijay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Bhatia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recently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retired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Professor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from City University of Hong Kong.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now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Adjunct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Professor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Chinese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University of Hong Kong, and 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Visiting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Professor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Hellenic American University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Athens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(Greece).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founding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President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the LSP and Professional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for Asia-Pacific.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projects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Analyzing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Genre-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bending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Corporate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Disclosure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Documents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and </w:t>
      </w:r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International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Arbitration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Practice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: A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Discourse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Analytical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countries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His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interests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(Critical) Genre Analysis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professional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discourses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business,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promotional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and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media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; ESP and Professional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simplification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easification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150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publications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credit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Three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books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Analysing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Genre: Language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Use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in Professional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Settings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Worlds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Written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Discourse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>: A Genre-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based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View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84EFD">
        <w:rPr>
          <w:rFonts w:ascii="Times New Roman" w:hAnsi="Times New Roman" w:cs="Times New Roman"/>
          <w:sz w:val="20"/>
          <w:szCs w:val="20"/>
        </w:rPr>
        <w:t xml:space="preserve">and </w:t>
      </w:r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Critical Genre Analysis;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Investigating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Interdiscursive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Performance in Professional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Practice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recently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widely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researchers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interested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genre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</w:t>
      </w:r>
      <w:r w:rsidR="00F84EFD" w:rsidRPr="00F84EFD">
        <w:rPr>
          <w:rFonts w:ascii="Times New Roman" w:hAnsi="Times New Roman" w:cs="Times New Roman"/>
          <w:sz w:val="20"/>
          <w:szCs w:val="20"/>
        </w:rPr>
        <w:t>heory</w:t>
      </w:r>
      <w:proofErr w:type="spellEnd"/>
      <w:r w:rsidR="00F84EFD"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F84EFD" w:rsidRPr="00F84EFD">
        <w:rPr>
          <w:rFonts w:ascii="Times New Roman" w:hAnsi="Times New Roman" w:cs="Times New Roman"/>
          <w:sz w:val="20"/>
          <w:szCs w:val="20"/>
        </w:rPr>
        <w:t>practice</w:t>
      </w:r>
      <w:proofErr w:type="spellEnd"/>
      <w:r w:rsidR="00F84EFD" w:rsidRPr="00F84E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Prof. Maurizio </w:t>
      </w:r>
      <w:proofErr w:type="spellStart"/>
      <w:r w:rsidRPr="00F84EFD">
        <w:rPr>
          <w:rFonts w:ascii="Times New Roman" w:hAnsi="Times New Roman" w:cs="Times New Roman"/>
          <w:b/>
          <w:bCs/>
          <w:sz w:val="20"/>
          <w:szCs w:val="20"/>
        </w:rPr>
        <w:t>Gotti</w:t>
      </w:r>
      <w:proofErr w:type="spellEnd"/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GLOBALISING TRENDS AND DISCURSIVE CHANGES IN THE LEGAL FIELD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Nowadays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often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subject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pressures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globalisation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operating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upon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contemporary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systems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Indeed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context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law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fast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assuming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perspective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rather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remaining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purely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domestic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concern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in spite of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growing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efforts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community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guarantee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greater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harmonisation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legislation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procedures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constraints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cultural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aspects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represent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relevant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conditioning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factor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Indeed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formulation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norms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greatly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conditioned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juridical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systems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drafting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traditions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but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socio-cultural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aspects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clearly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visible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normative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various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show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discrepancies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deriving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differing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cultural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systems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but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from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codes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issues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especially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relevant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trade,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often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involves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English but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incorporating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norms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enacted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by a non-English-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speaking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country.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Moreover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all-inclusiveness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implicit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globalising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vagueness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indeterminacy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wording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mainly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caused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by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general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conveying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wide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semantic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values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As 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meaning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context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provisions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not as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clear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expected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lastRenderedPageBreak/>
        <w:t>This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investigates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whereby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normative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discourse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employed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cultural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;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illustrate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phenomenon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mainly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targets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legislation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arbitration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particularly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deriving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from the Model Law on International Commercial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Arbitration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enacted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by the United Nations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Commission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on International Trade Law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promote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greater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harmonisation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field.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sz w:val="20"/>
          <w:szCs w:val="20"/>
        </w:rPr>
        <w:t xml:space="preserve">Maurizio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Gotti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Professor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English Language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Translation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Head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Foreign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Languages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Literatures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Cultures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Director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Centre on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Specialized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Languages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(CERLIS)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University of Bergamo. His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areas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origins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specialized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discourse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interested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English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syntax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English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lexicology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lexicography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member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Editorial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Board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journals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edits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Insights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series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for Peter Lang.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editor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twenty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books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guest-editor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five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special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issues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over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one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hundred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fifty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articles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chapters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Dr John Olsson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FORENSIC LANGUAGE AND THE UNKNOWN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author's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interests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understanding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construction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individual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identity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realised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practical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forensic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interests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developing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attribution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Whilst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not be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possible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entirely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reconcile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pursuits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one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nevertheless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attempted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outline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several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contemporary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approaches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(a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brief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mainly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order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give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audience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overview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forensic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developed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25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so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practised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courts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principally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United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Kingdom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Data from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actual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criminal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discussion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broaden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out,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showing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fact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attribution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needs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fit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humanistic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epistemological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framework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necessarily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includes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individual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identity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identities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Labov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)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realisation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relying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by,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alia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Foucault, Barthes,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Bakhtin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Kristeva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promote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restrict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individual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expression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particular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Kristeva's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notion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intertextuality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Bakhtin's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concepts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centrifugal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centripetal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forces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acting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Finally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'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variation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'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gives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insight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individual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variation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on the one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hand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and the influence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forces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b/>
          <w:bCs/>
          <w:sz w:val="20"/>
          <w:szCs w:val="20"/>
        </w:rPr>
        <w:t>References</w:t>
      </w:r>
      <w:proofErr w:type="spellEnd"/>
      <w:r w:rsidRPr="00F84EF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97436A" w:rsidRPr="00F84EFD" w:rsidRDefault="0097436A" w:rsidP="00F84E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Nini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A. &amp; T. Grant. 2013.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Bridging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gap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stylistic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cognitive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approaches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Systemic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multidimensional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International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Journal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of Speech Language and the Law</w:t>
      </w:r>
      <w:r w:rsidRPr="00F84EFD">
        <w:rPr>
          <w:rFonts w:ascii="Times New Roman" w:hAnsi="Times New Roman" w:cs="Times New Roman"/>
          <w:sz w:val="20"/>
          <w:szCs w:val="20"/>
        </w:rPr>
        <w:t xml:space="preserve">, Vol 20, No 2. </w:t>
      </w:r>
    </w:p>
    <w:p w:rsidR="0097436A" w:rsidRPr="00F84EFD" w:rsidRDefault="0097436A" w:rsidP="00F84E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t>Zhang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S. 2016.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attribution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feature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testing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Chinese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short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emails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International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Journal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of Speech Language and the Law</w:t>
      </w:r>
      <w:r w:rsidRPr="00F84EFD">
        <w:rPr>
          <w:rFonts w:ascii="Times New Roman" w:hAnsi="Times New Roman" w:cs="Times New Roman"/>
          <w:sz w:val="20"/>
          <w:szCs w:val="20"/>
        </w:rPr>
        <w:t xml:space="preserve">, Vol 23, No 1. </w:t>
      </w:r>
    </w:p>
    <w:p w:rsidR="0097436A" w:rsidRPr="00F84EFD" w:rsidRDefault="0097436A" w:rsidP="00F84E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McMenamin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G.R. 2001. Style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markers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International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Journal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of Speech Language and the Law</w:t>
      </w:r>
      <w:r w:rsidRPr="00F84EFD">
        <w:rPr>
          <w:rFonts w:ascii="Times New Roman" w:hAnsi="Times New Roman" w:cs="Times New Roman"/>
          <w:sz w:val="20"/>
          <w:szCs w:val="20"/>
        </w:rPr>
        <w:t xml:space="preserve">, Vol 8, No 2. </w:t>
      </w:r>
    </w:p>
    <w:p w:rsidR="0097436A" w:rsidRPr="00F84EFD" w:rsidRDefault="0097436A" w:rsidP="00F84E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sz w:val="20"/>
          <w:szCs w:val="20"/>
        </w:rPr>
        <w:t xml:space="preserve">Grant, T. 2007.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Quantifying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evidence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forensic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</w:t>
      </w:r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International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Journal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of Speech, Language &amp; the Law. </w:t>
      </w:r>
      <w:r w:rsidRPr="00F84EFD">
        <w:rPr>
          <w:rFonts w:ascii="Times New Roman" w:hAnsi="Times New Roman" w:cs="Times New Roman"/>
          <w:sz w:val="20"/>
          <w:szCs w:val="20"/>
        </w:rPr>
        <w:t xml:space="preserve">Vol.14, No 1. </w:t>
      </w:r>
    </w:p>
    <w:p w:rsidR="0097436A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sz w:val="20"/>
          <w:szCs w:val="20"/>
        </w:rPr>
        <w:t xml:space="preserve">Olsson, J. &amp; J.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Luchjenbroers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2013.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Forensic</w:t>
      </w:r>
      <w:proofErr w:type="spellEnd"/>
      <w:r w:rsidRPr="00F84E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i/>
          <w:iCs/>
          <w:sz w:val="20"/>
          <w:szCs w:val="20"/>
        </w:rPr>
        <w:t>Linguistics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London: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Bloomsbury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Publishing. </w:t>
      </w:r>
    </w:p>
    <w:p w:rsidR="00A16B94" w:rsidRPr="00F84EFD" w:rsidRDefault="0097436A" w:rsidP="0097436A">
      <w:pPr>
        <w:rPr>
          <w:rFonts w:ascii="Times New Roman" w:hAnsi="Times New Roman" w:cs="Times New Roman"/>
          <w:sz w:val="20"/>
          <w:szCs w:val="20"/>
        </w:rPr>
      </w:pPr>
      <w:r w:rsidRPr="00F84EFD">
        <w:rPr>
          <w:rFonts w:ascii="Times New Roman" w:hAnsi="Times New Roman" w:cs="Times New Roman"/>
          <w:sz w:val="20"/>
          <w:szCs w:val="20"/>
        </w:rPr>
        <w:t xml:space="preserve">Dr John Olsson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director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Forensic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lecturer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Forensic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the School of Law,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Bangor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University,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North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Wales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practising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independent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forensic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linguistics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expert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since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1994.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worked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murder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suspicious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terrorism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contamination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witness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intimidation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blackmail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fraud,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sexual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assault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armed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robbery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money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laundering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gang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violence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narcotics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investigations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analysed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kinds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ransom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notes,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suicide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threat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texts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phone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messages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media.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he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over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450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reports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for police services and law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enforcement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agencies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lawyers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private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clients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widely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conferences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several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countries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, Dr Olsson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barrister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(non-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practising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) and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frequently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attends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court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observe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 xml:space="preserve"> the law in </w:t>
      </w:r>
      <w:proofErr w:type="spellStart"/>
      <w:r w:rsidRPr="00F84EFD">
        <w:rPr>
          <w:rFonts w:ascii="Times New Roman" w:hAnsi="Times New Roman" w:cs="Times New Roman"/>
          <w:sz w:val="20"/>
          <w:szCs w:val="20"/>
        </w:rPr>
        <w:t>action</w:t>
      </w:r>
      <w:proofErr w:type="spellEnd"/>
      <w:r w:rsidRPr="00F84EFD">
        <w:rPr>
          <w:rFonts w:ascii="Times New Roman" w:hAnsi="Times New Roman" w:cs="Times New Roman"/>
          <w:sz w:val="20"/>
          <w:szCs w:val="20"/>
        </w:rPr>
        <w:t>.</w:t>
      </w:r>
    </w:p>
    <w:sectPr w:rsidR="00A16B94" w:rsidRPr="00F8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C0"/>
    <w:rsid w:val="0097436A"/>
    <w:rsid w:val="00A16B94"/>
    <w:rsid w:val="00E010F7"/>
    <w:rsid w:val="00E73BC0"/>
    <w:rsid w:val="00F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D0933-CA1D-4617-BD21-9F9D3F05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UwB</cp:lastModifiedBy>
  <cp:revision>2</cp:revision>
  <dcterms:created xsi:type="dcterms:W3CDTF">2017-05-16T14:13:00Z</dcterms:created>
  <dcterms:modified xsi:type="dcterms:W3CDTF">2017-05-16T14:13:00Z</dcterms:modified>
</cp:coreProperties>
</file>