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1" w:rsidRPr="00DB7A2E" w:rsidRDefault="00DA2693" w:rsidP="000B48D1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DB7A2E">
        <w:rPr>
          <w:b/>
          <w:sz w:val="28"/>
          <w:szCs w:val="28"/>
          <w:u w:val="single"/>
        </w:rPr>
        <w:t>7 .</w:t>
      </w:r>
      <w:r w:rsidR="000B48D1" w:rsidRPr="00DB7A2E">
        <w:rPr>
          <w:b/>
          <w:sz w:val="28"/>
          <w:szCs w:val="28"/>
          <w:u w:val="single"/>
        </w:rPr>
        <w:t>PR</w:t>
      </w:r>
      <w:r w:rsidR="00437485" w:rsidRPr="00DB7A2E">
        <w:rPr>
          <w:b/>
          <w:sz w:val="28"/>
          <w:szCs w:val="28"/>
          <w:u w:val="single"/>
        </w:rPr>
        <w:t>AW</w:t>
      </w:r>
      <w:r w:rsidR="007F5251" w:rsidRPr="00DB7A2E">
        <w:rPr>
          <w:b/>
          <w:sz w:val="28"/>
          <w:szCs w:val="28"/>
          <w:u w:val="single"/>
        </w:rPr>
        <w:t xml:space="preserve">O  MIĘDZYNARODOWE   PRYWATNE </w:t>
      </w:r>
    </w:p>
    <w:p w:rsidR="00C25A2E" w:rsidRPr="00DB7A2E" w:rsidRDefault="00C25A2E" w:rsidP="000B48D1">
      <w:pPr>
        <w:ind w:left="360"/>
        <w:jc w:val="both"/>
        <w:rPr>
          <w:b/>
          <w:sz w:val="28"/>
          <w:szCs w:val="28"/>
          <w:u w:val="single"/>
        </w:rPr>
      </w:pPr>
    </w:p>
    <w:p w:rsidR="000B48D1" w:rsidRPr="007F5251" w:rsidRDefault="000B48D1" w:rsidP="007F5251">
      <w:pPr>
        <w:jc w:val="both"/>
        <w:rPr>
          <w:sz w:val="24"/>
          <w:szCs w:val="24"/>
        </w:rPr>
      </w:pPr>
    </w:p>
    <w:p w:rsidR="000B48D1" w:rsidRPr="007F5251" w:rsidRDefault="000B48D1" w:rsidP="000B48D1">
      <w:pPr>
        <w:ind w:left="360"/>
        <w:jc w:val="both"/>
        <w:rPr>
          <w:sz w:val="24"/>
          <w:szCs w:val="24"/>
        </w:rPr>
      </w:pPr>
    </w:p>
    <w:p w:rsidR="000B48D1" w:rsidRPr="007F5251" w:rsidRDefault="00437485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Odesłanie, jego rodzaje i ograniczenia ich dotyczące</w:t>
      </w:r>
      <w:r w:rsidR="000B48D1" w:rsidRPr="007F5251">
        <w:rPr>
          <w:sz w:val="24"/>
          <w:szCs w:val="24"/>
        </w:rPr>
        <w:t>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0B48D1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Domicyl - pojęcie, wady, zalety.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437485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Niejednolite prawo</w:t>
      </w:r>
      <w:r w:rsidR="000B48D1" w:rsidRPr="007F5251">
        <w:rPr>
          <w:sz w:val="24"/>
          <w:szCs w:val="24"/>
        </w:rPr>
        <w:t xml:space="preserve"> w świetle polskiej ustawy</w:t>
      </w:r>
      <w:r w:rsidRPr="007F5251">
        <w:rPr>
          <w:sz w:val="24"/>
          <w:szCs w:val="24"/>
        </w:rPr>
        <w:t xml:space="preserve"> kolizyjnej.</w:t>
      </w:r>
    </w:p>
    <w:p w:rsidR="00692B3F" w:rsidRPr="007F5251" w:rsidRDefault="00692B3F" w:rsidP="00692B3F">
      <w:pPr>
        <w:pStyle w:val="Akapitzlist"/>
        <w:rPr>
          <w:sz w:val="24"/>
          <w:szCs w:val="24"/>
        </w:rPr>
      </w:pPr>
    </w:p>
    <w:p w:rsidR="000B48D1" w:rsidRPr="007F5251" w:rsidRDefault="000B48D1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Łącznik obywatelstwa - pojęcie, wady, zalety.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437485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Okoliczności wystąpienia kwestii wstępnej</w:t>
      </w:r>
      <w:r w:rsidR="000B48D1" w:rsidRPr="007F5251">
        <w:rPr>
          <w:sz w:val="24"/>
          <w:szCs w:val="24"/>
        </w:rPr>
        <w:t xml:space="preserve"> i </w:t>
      </w:r>
      <w:r w:rsidRPr="007F5251">
        <w:rPr>
          <w:sz w:val="24"/>
          <w:szCs w:val="24"/>
        </w:rPr>
        <w:t xml:space="preserve">doktrynalne </w:t>
      </w:r>
      <w:r w:rsidR="000B48D1" w:rsidRPr="007F5251">
        <w:rPr>
          <w:sz w:val="24"/>
          <w:szCs w:val="24"/>
        </w:rPr>
        <w:t xml:space="preserve">propozycje </w:t>
      </w:r>
      <w:r w:rsidRPr="007F5251">
        <w:rPr>
          <w:sz w:val="24"/>
          <w:szCs w:val="24"/>
        </w:rPr>
        <w:t>odnośnie sposobów jej traktowania.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437485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Pojęcie możności</w:t>
      </w:r>
      <w:r w:rsidR="000B48D1" w:rsidRPr="007F5251">
        <w:rPr>
          <w:sz w:val="24"/>
          <w:szCs w:val="24"/>
        </w:rPr>
        <w:t xml:space="preserve"> zawarcia małżeństwa</w:t>
      </w:r>
      <w:r w:rsidR="003E524D" w:rsidRPr="007F5251">
        <w:rPr>
          <w:sz w:val="24"/>
          <w:szCs w:val="24"/>
        </w:rPr>
        <w:t xml:space="preserve"> -</w:t>
      </w:r>
      <w:r w:rsidR="000B48D1" w:rsidRPr="007F5251">
        <w:rPr>
          <w:sz w:val="24"/>
          <w:szCs w:val="24"/>
        </w:rPr>
        <w:t xml:space="preserve"> łącznik</w:t>
      </w:r>
      <w:r w:rsidR="003E524D" w:rsidRPr="007F5251">
        <w:rPr>
          <w:sz w:val="24"/>
          <w:szCs w:val="24"/>
        </w:rPr>
        <w:t>i</w:t>
      </w:r>
      <w:r w:rsidR="000B48D1" w:rsidRPr="007F5251">
        <w:rPr>
          <w:sz w:val="24"/>
          <w:szCs w:val="24"/>
        </w:rPr>
        <w:t xml:space="preserve"> o</w:t>
      </w:r>
      <w:r w:rsidR="003E524D" w:rsidRPr="007F5251">
        <w:rPr>
          <w:sz w:val="24"/>
          <w:szCs w:val="24"/>
        </w:rPr>
        <w:t>raz konsekwencje zastosowania ich wobec nupturientów.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Rodzaje łączników.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Ł</w:t>
      </w:r>
      <w:r w:rsidR="000B48D1" w:rsidRPr="007F5251">
        <w:rPr>
          <w:sz w:val="24"/>
          <w:szCs w:val="24"/>
        </w:rPr>
        <w:t>ączniki stosow</w:t>
      </w:r>
      <w:r w:rsidRPr="007F5251">
        <w:rPr>
          <w:sz w:val="24"/>
          <w:szCs w:val="24"/>
        </w:rPr>
        <w:t>ane w przypadku przysposobienia.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Okoliczności wystąpienia dostosowania</w:t>
      </w:r>
      <w:r w:rsidR="000B48D1" w:rsidRPr="007F5251">
        <w:rPr>
          <w:sz w:val="24"/>
          <w:szCs w:val="24"/>
        </w:rPr>
        <w:t xml:space="preserve"> i </w:t>
      </w:r>
      <w:r w:rsidRPr="007F5251">
        <w:rPr>
          <w:sz w:val="24"/>
          <w:szCs w:val="24"/>
        </w:rPr>
        <w:t>metody jego realizacji.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 xml:space="preserve"> Obejście prawa w świetle doktryny prawa kolizyjnego.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Ł</w:t>
      </w:r>
      <w:r w:rsidR="000B48D1" w:rsidRPr="007F5251">
        <w:rPr>
          <w:sz w:val="24"/>
          <w:szCs w:val="24"/>
        </w:rPr>
        <w:t>ącznik</w:t>
      </w:r>
      <w:r w:rsidRPr="007F5251">
        <w:rPr>
          <w:sz w:val="24"/>
          <w:szCs w:val="24"/>
        </w:rPr>
        <w:t>i stosowane w przypadku rozwiązania małżeństwa</w:t>
      </w:r>
      <w:r w:rsidR="000B48D1" w:rsidRPr="007F5251">
        <w:rPr>
          <w:sz w:val="24"/>
          <w:szCs w:val="24"/>
        </w:rPr>
        <w:t xml:space="preserve"> oraz potencjalne problemy natury </w:t>
      </w:r>
      <w:r w:rsidRPr="007F5251">
        <w:rPr>
          <w:sz w:val="24"/>
          <w:szCs w:val="24"/>
        </w:rPr>
        <w:t>transgranicznej</w:t>
      </w:r>
      <w:r w:rsidR="000B48D1" w:rsidRPr="007F5251">
        <w:rPr>
          <w:sz w:val="24"/>
          <w:szCs w:val="24"/>
        </w:rPr>
        <w:t xml:space="preserve"> związane z rozwodem.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Z</w:t>
      </w:r>
      <w:r w:rsidR="000B48D1" w:rsidRPr="007F5251">
        <w:rPr>
          <w:sz w:val="24"/>
          <w:szCs w:val="24"/>
        </w:rPr>
        <w:t>akres statutu zdolności osoby fizycznej.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S</w:t>
      </w:r>
      <w:r w:rsidR="000B48D1" w:rsidRPr="007F5251">
        <w:rPr>
          <w:sz w:val="24"/>
          <w:szCs w:val="24"/>
        </w:rPr>
        <w:t xml:space="preserve">tatut i </w:t>
      </w:r>
      <w:r w:rsidRPr="007F5251">
        <w:rPr>
          <w:sz w:val="24"/>
          <w:szCs w:val="24"/>
        </w:rPr>
        <w:t>okoliczności jego zmiany.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Ł</w:t>
      </w:r>
      <w:r w:rsidR="000B48D1" w:rsidRPr="007F5251">
        <w:rPr>
          <w:sz w:val="24"/>
          <w:szCs w:val="24"/>
        </w:rPr>
        <w:t>ączniki stosowane w zobo</w:t>
      </w:r>
      <w:r w:rsidRPr="007F5251">
        <w:rPr>
          <w:sz w:val="24"/>
          <w:szCs w:val="24"/>
        </w:rPr>
        <w:t>wiązaniach wynikających z czynności prawnych.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3E524D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Pojęcie kwalifikacji, jej rodzaje oraz sposoby jej dokonywania.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692B3F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Okoliczności oraz</w:t>
      </w:r>
      <w:r w:rsidR="000B48D1" w:rsidRPr="007F5251">
        <w:rPr>
          <w:sz w:val="24"/>
          <w:szCs w:val="24"/>
        </w:rPr>
        <w:t xml:space="preserve"> konsekwencje zastosowania klauzuli porządku publicznego</w:t>
      </w:r>
      <w:r w:rsidRPr="007F5251">
        <w:rPr>
          <w:sz w:val="24"/>
          <w:szCs w:val="24"/>
        </w:rPr>
        <w:t>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692B3F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Ł</w:t>
      </w:r>
      <w:r w:rsidR="000B48D1" w:rsidRPr="007F5251">
        <w:rPr>
          <w:sz w:val="24"/>
          <w:szCs w:val="24"/>
        </w:rPr>
        <w:t>ączniki stosowane w zobowiązaniach nie wy</w:t>
      </w:r>
      <w:r w:rsidRPr="007F5251">
        <w:rPr>
          <w:sz w:val="24"/>
          <w:szCs w:val="24"/>
        </w:rPr>
        <w:t>nikających z czynności prawnych.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692B3F" w:rsidRPr="007F5251" w:rsidRDefault="00692B3F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Stosowanie obcego prawa w świetle polskich przepisów.</w:t>
      </w:r>
    </w:p>
    <w:p w:rsidR="000B48D1" w:rsidRPr="007F5251" w:rsidRDefault="000B48D1" w:rsidP="00692B3F">
      <w:pPr>
        <w:jc w:val="both"/>
        <w:rPr>
          <w:sz w:val="24"/>
          <w:szCs w:val="24"/>
        </w:rPr>
      </w:pPr>
    </w:p>
    <w:p w:rsidR="000B48D1" w:rsidRPr="007F5251" w:rsidRDefault="00692B3F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Ł</w:t>
      </w:r>
      <w:r w:rsidR="000B48D1" w:rsidRPr="007F5251">
        <w:rPr>
          <w:sz w:val="24"/>
          <w:szCs w:val="24"/>
        </w:rPr>
        <w:t xml:space="preserve">ączniki personalne </w:t>
      </w:r>
      <w:r w:rsidRPr="007F5251">
        <w:rPr>
          <w:sz w:val="24"/>
          <w:szCs w:val="24"/>
        </w:rPr>
        <w:t>stosowane do osób prawnych</w:t>
      </w:r>
      <w:r w:rsidR="000B48D1" w:rsidRPr="007F5251">
        <w:rPr>
          <w:sz w:val="24"/>
          <w:szCs w:val="24"/>
        </w:rPr>
        <w:t>.</w:t>
      </w:r>
    </w:p>
    <w:p w:rsidR="000B48D1" w:rsidRPr="002E0BD9" w:rsidRDefault="000B48D1" w:rsidP="00692B3F">
      <w:pPr>
        <w:jc w:val="both"/>
        <w:rPr>
          <w:sz w:val="28"/>
          <w:szCs w:val="28"/>
        </w:rPr>
      </w:pPr>
    </w:p>
    <w:p w:rsidR="000B48D1" w:rsidRPr="007F5251" w:rsidRDefault="00692B3F" w:rsidP="00692B3F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5251">
        <w:rPr>
          <w:sz w:val="24"/>
          <w:szCs w:val="24"/>
        </w:rPr>
        <w:t>Reguła najściślejszego związku w polskim prawie kolizyjnym.</w:t>
      </w:r>
    </w:p>
    <w:p w:rsidR="000B48D1" w:rsidRDefault="000B48D1" w:rsidP="00692B3F">
      <w:pPr>
        <w:jc w:val="both"/>
      </w:pPr>
    </w:p>
    <w:p w:rsidR="00AE7754" w:rsidRDefault="000466FF" w:rsidP="00692B3F"/>
    <w:p w:rsidR="00692B3F" w:rsidRDefault="00692B3F"/>
    <w:sectPr w:rsidR="00692B3F" w:rsidSect="0057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21F"/>
    <w:multiLevelType w:val="hybridMultilevel"/>
    <w:tmpl w:val="E0303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5BC"/>
    <w:rsid w:val="000466FF"/>
    <w:rsid w:val="000B48D1"/>
    <w:rsid w:val="002A592E"/>
    <w:rsid w:val="002C1CB9"/>
    <w:rsid w:val="003017B3"/>
    <w:rsid w:val="003E524D"/>
    <w:rsid w:val="00437485"/>
    <w:rsid w:val="00575CED"/>
    <w:rsid w:val="00692B3F"/>
    <w:rsid w:val="007F5251"/>
    <w:rsid w:val="00842159"/>
    <w:rsid w:val="00861151"/>
    <w:rsid w:val="00A3188D"/>
    <w:rsid w:val="00BC2F7D"/>
    <w:rsid w:val="00C235BC"/>
    <w:rsid w:val="00C25A2E"/>
    <w:rsid w:val="00DA2693"/>
    <w:rsid w:val="00DB7A2E"/>
    <w:rsid w:val="00E16636"/>
    <w:rsid w:val="00E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Katarzyna Kiercul</cp:lastModifiedBy>
  <cp:revision>11</cp:revision>
  <dcterms:created xsi:type="dcterms:W3CDTF">2015-04-01T08:46:00Z</dcterms:created>
  <dcterms:modified xsi:type="dcterms:W3CDTF">2015-04-09T12:16:00Z</dcterms:modified>
</cp:coreProperties>
</file>