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4B64A" w14:textId="4AD5D32D" w:rsidR="009E5D97" w:rsidRDefault="00186945" w:rsidP="009E5D9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Dezyderat</w:t>
      </w:r>
      <w:r w:rsidR="009E5D97">
        <w:rPr>
          <w:rFonts w:ascii="Times New Roman" w:hAnsi="Times New Roman"/>
          <w:b/>
          <w:bCs/>
          <w:sz w:val="24"/>
          <w:szCs w:val="24"/>
        </w:rPr>
        <w:t xml:space="preserve"> n</w:t>
      </w:r>
      <w:r w:rsidR="005278FF">
        <w:rPr>
          <w:rFonts w:ascii="Times New Roman" w:hAnsi="Times New Roman"/>
          <w:b/>
          <w:bCs/>
          <w:sz w:val="24"/>
          <w:szCs w:val="24"/>
        </w:rPr>
        <w:t>r 2</w:t>
      </w:r>
      <w:r w:rsidR="009E5D97">
        <w:rPr>
          <w:rFonts w:ascii="Times New Roman" w:hAnsi="Times New Roman"/>
          <w:b/>
          <w:bCs/>
          <w:sz w:val="24"/>
          <w:szCs w:val="24"/>
        </w:rPr>
        <w:br/>
        <w:t>Komisji do Spraw Unii Europejskiej</w:t>
      </w:r>
    </w:p>
    <w:p w14:paraId="19D9CFBD" w14:textId="49358EED" w:rsidR="005278FF" w:rsidRDefault="005278FF" w:rsidP="009E5D9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uchwalony na 78 posiedzeniu w dniu 22 lipca 2021 roku </w:t>
      </w:r>
    </w:p>
    <w:p w14:paraId="71420E92" w14:textId="77777777" w:rsidR="009E5D97" w:rsidRDefault="009E5D97" w:rsidP="009E5D9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 Ministra do spraw Unii Europejskiej</w:t>
      </w:r>
    </w:p>
    <w:p w14:paraId="0E35E124" w14:textId="77777777" w:rsidR="009E5D97" w:rsidRDefault="009E5D97" w:rsidP="009E5D9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</w:p>
    <w:p w14:paraId="25ECB305" w14:textId="77777777" w:rsidR="00186945" w:rsidRDefault="009E5D97" w:rsidP="009E5D9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konieczności </w:t>
      </w:r>
      <w:r w:rsidR="00186945">
        <w:rPr>
          <w:rFonts w:ascii="Times New Roman" w:hAnsi="Times New Roman"/>
          <w:b/>
          <w:bCs/>
          <w:sz w:val="24"/>
          <w:szCs w:val="24"/>
        </w:rPr>
        <w:t>pogłębionej analizy przyczyn wyjścia Zjednoczonego Królestwa Wielkiej Brytanii i Irlandii Północnej z Unii Europejskiej</w:t>
      </w:r>
    </w:p>
    <w:p w14:paraId="6D6F9F97" w14:textId="77777777" w:rsidR="00186945" w:rsidRDefault="00186945" w:rsidP="009E5D9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oraz</w:t>
      </w:r>
    </w:p>
    <w:p w14:paraId="440ADD59" w14:textId="347A7C0F" w:rsidR="009E5D97" w:rsidRDefault="00186945" w:rsidP="009E5D9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respektowania przez organy Unii Europejskiej zapisów traktatów europejskich stanowiących wyłączne ramy jej funkcjonowania</w:t>
      </w:r>
    </w:p>
    <w:p w14:paraId="6FDA6CCE" w14:textId="0531400F" w:rsidR="009E5D97" w:rsidRDefault="009E5D97" w:rsidP="009E5D9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D733985" w14:textId="58727463" w:rsidR="0062755B" w:rsidRDefault="0062755B" w:rsidP="009E5D9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9E7E856" w14:textId="77777777" w:rsidR="0062755B" w:rsidRDefault="0062755B" w:rsidP="009E5D9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98D13FF" w14:textId="38234324" w:rsidR="009E5D97" w:rsidRDefault="009E5D97" w:rsidP="009E5D9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Wyjście Wielkiej Brytanii z Unii Europejskiej  było najwyraźniejszym dotąd dowodem potężnego kryzysu, w jakim znalazła się nasza Wspólnota. Do głównych przyczyn podjętej na drodze referendum decyzji Brytyjczyków o opuszczeniu Unii, które omawiano w trakcie posiedzenia Podkomisji ds. Konferencji o Przyszłości Europy, należy zaliczyć faktyczny brak demokratycznej kontroli nad coraz bardziej </w:t>
      </w:r>
      <w:r w:rsidR="00734484">
        <w:rPr>
          <w:rFonts w:ascii="Times New Roman" w:hAnsi="Times New Roman"/>
          <w:sz w:val="24"/>
          <w:szCs w:val="24"/>
        </w:rPr>
        <w:t>zideologizowanymi</w:t>
      </w:r>
      <w:r>
        <w:rPr>
          <w:rFonts w:ascii="Times New Roman" w:hAnsi="Times New Roman"/>
          <w:sz w:val="24"/>
          <w:szCs w:val="24"/>
        </w:rPr>
        <w:t xml:space="preserve"> instytucjami europejskimi </w:t>
      </w:r>
      <w:r>
        <w:rPr>
          <w:rFonts w:ascii="Times New Roman" w:hAnsi="Times New Roman"/>
          <w:sz w:val="24"/>
          <w:szCs w:val="24"/>
        </w:rPr>
        <w:br/>
        <w:t xml:space="preserve">a także wykorzystywanie struktur politycznych i prawa do kreowania quasi-państwa europejskiego. Obywatele Wielkiej Brytanii sprzeciwili się także swoją referendalną decyzją </w:t>
      </w:r>
      <w:r w:rsidR="007C5784">
        <w:rPr>
          <w:rFonts w:ascii="Times New Roman" w:hAnsi="Times New Roman"/>
          <w:sz w:val="24"/>
          <w:szCs w:val="24"/>
        </w:rPr>
        <w:t>pogłębiającej się centralizacji Unii Europejskiej polegającej na przyznawaniu przez jej organy, w tym Trybunał Sprawiedliwości Unii Europejskiej, kompetencji nie wynikających z obowiązujących traktatów</w:t>
      </w:r>
      <w:r w:rsidR="00707590">
        <w:rPr>
          <w:rFonts w:ascii="Times New Roman" w:hAnsi="Times New Roman"/>
          <w:sz w:val="24"/>
          <w:szCs w:val="24"/>
        </w:rPr>
        <w:t>, tym samym</w:t>
      </w:r>
      <w:r w:rsidR="007C5784">
        <w:rPr>
          <w:rFonts w:ascii="Times New Roman" w:hAnsi="Times New Roman"/>
          <w:sz w:val="24"/>
          <w:szCs w:val="24"/>
        </w:rPr>
        <w:t xml:space="preserve"> odbierając </w:t>
      </w:r>
      <w:r w:rsidR="00707590">
        <w:rPr>
          <w:rFonts w:ascii="Times New Roman" w:hAnsi="Times New Roman"/>
          <w:sz w:val="24"/>
          <w:szCs w:val="24"/>
        </w:rPr>
        <w:t xml:space="preserve">możliwość </w:t>
      </w:r>
      <w:r w:rsidR="007C5784">
        <w:rPr>
          <w:rFonts w:ascii="Times New Roman" w:hAnsi="Times New Roman"/>
          <w:sz w:val="24"/>
          <w:szCs w:val="24"/>
        </w:rPr>
        <w:t xml:space="preserve">podejmowanie suwerennych decyzji państwom członkowskim w zakresie polityk </w:t>
      </w:r>
      <w:r w:rsidR="00707590">
        <w:rPr>
          <w:rFonts w:ascii="Times New Roman" w:hAnsi="Times New Roman"/>
          <w:sz w:val="24"/>
          <w:szCs w:val="24"/>
        </w:rPr>
        <w:t xml:space="preserve">wyłącznie </w:t>
      </w:r>
      <w:r w:rsidR="007C5784">
        <w:rPr>
          <w:rFonts w:ascii="Times New Roman" w:hAnsi="Times New Roman"/>
          <w:sz w:val="24"/>
          <w:szCs w:val="24"/>
        </w:rPr>
        <w:t>dla nich zarezerwowanych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D4B1329" w14:textId="05AC5654" w:rsidR="00AD2157" w:rsidRDefault="007C5784" w:rsidP="009E5D9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E5D97">
        <w:rPr>
          <w:rFonts w:ascii="Times New Roman" w:hAnsi="Times New Roman"/>
          <w:sz w:val="24"/>
          <w:szCs w:val="24"/>
        </w:rPr>
        <w:t xml:space="preserve">ięć lat po brytyjskim referendum, w którym wizja </w:t>
      </w:r>
      <w:proofErr w:type="spellStart"/>
      <w:r w:rsidR="009E5D97">
        <w:rPr>
          <w:rFonts w:ascii="Times New Roman" w:hAnsi="Times New Roman"/>
          <w:sz w:val="24"/>
          <w:szCs w:val="24"/>
        </w:rPr>
        <w:t>sfederalizowanej</w:t>
      </w:r>
      <w:proofErr w:type="spellEnd"/>
      <w:r w:rsidR="009E5D97">
        <w:rPr>
          <w:rFonts w:ascii="Times New Roman" w:hAnsi="Times New Roman"/>
          <w:sz w:val="24"/>
          <w:szCs w:val="24"/>
        </w:rPr>
        <w:t xml:space="preserve">, </w:t>
      </w:r>
      <w:r w:rsidR="00734484">
        <w:rPr>
          <w:rFonts w:ascii="Times New Roman" w:hAnsi="Times New Roman"/>
          <w:sz w:val="24"/>
          <w:szCs w:val="24"/>
        </w:rPr>
        <w:t>zideologizowanej</w:t>
      </w:r>
      <w:r w:rsidR="009E5D97">
        <w:rPr>
          <w:rFonts w:ascii="Times New Roman" w:hAnsi="Times New Roman"/>
          <w:sz w:val="24"/>
          <w:szCs w:val="24"/>
        </w:rPr>
        <w:t xml:space="preserve"> i pozbawionej demokratycznej kontroli obywateli państw członkowskich Unii Europejskiej poniosła dotkliwą porażk</w:t>
      </w:r>
      <w:r w:rsidR="00E13EFC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,</w:t>
      </w:r>
      <w:r w:rsidR="009E5D97">
        <w:rPr>
          <w:rFonts w:ascii="Times New Roman" w:hAnsi="Times New Roman"/>
          <w:sz w:val="24"/>
          <w:szCs w:val="24"/>
        </w:rPr>
        <w:t xml:space="preserve"> niekorzystne procesy są pogłębiane. Przykładem tych tendencji jest alienacja europejskiej klasy urzędniczej, ideologiczne kampanie </w:t>
      </w:r>
      <w:r>
        <w:rPr>
          <w:rFonts w:ascii="Times New Roman" w:hAnsi="Times New Roman"/>
          <w:sz w:val="24"/>
          <w:szCs w:val="24"/>
        </w:rPr>
        <w:t>skierowane przeciwko państwom</w:t>
      </w:r>
      <w:r w:rsidR="009E5D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posiadającym odmienne od Komisji Europejskiej czy też dzisiejszej większości w Parlamencie Europejskim zdanie w sprawach światopoglądowych</w:t>
      </w:r>
      <w:r w:rsidR="00AD21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D2157">
        <w:rPr>
          <w:rFonts w:ascii="Times New Roman" w:hAnsi="Times New Roman"/>
          <w:sz w:val="24"/>
          <w:szCs w:val="24"/>
        </w:rPr>
        <w:t>mające na celu zastraszenie tych państw i wyw</w:t>
      </w:r>
      <w:r w:rsidR="00E13EFC">
        <w:rPr>
          <w:rFonts w:ascii="Times New Roman" w:hAnsi="Times New Roman"/>
          <w:sz w:val="24"/>
          <w:szCs w:val="24"/>
        </w:rPr>
        <w:t>arcie</w:t>
      </w:r>
      <w:r w:rsidR="00AD2157">
        <w:rPr>
          <w:rFonts w:ascii="Times New Roman" w:hAnsi="Times New Roman"/>
          <w:sz w:val="24"/>
          <w:szCs w:val="24"/>
        </w:rPr>
        <w:t xml:space="preserve"> na nich nie dającej się połączyć z zasadami demokratycznymi presji.</w:t>
      </w:r>
    </w:p>
    <w:p w14:paraId="033327E1" w14:textId="5171CB88" w:rsidR="009E5D97" w:rsidRDefault="009E5D97" w:rsidP="009E5D9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ocenie Komisji do Spraw Unii Europejskiej konieczne jest kontynuowanie pogłębionej i wolnej dyskusji o przyczynach wyjścia Wielkiej Brytanii ze Wspólnoty. Należy odważnie wspierać państwa </w:t>
      </w:r>
      <w:r w:rsidR="00AD2157">
        <w:rPr>
          <w:rFonts w:ascii="Times New Roman" w:hAnsi="Times New Roman"/>
          <w:sz w:val="24"/>
          <w:szCs w:val="24"/>
        </w:rPr>
        <w:t>wobec których</w:t>
      </w:r>
      <w:r>
        <w:rPr>
          <w:rFonts w:ascii="Times New Roman" w:hAnsi="Times New Roman"/>
          <w:sz w:val="24"/>
          <w:szCs w:val="24"/>
        </w:rPr>
        <w:t xml:space="preserve"> unijne instytucje i ośrodki polityczne</w:t>
      </w:r>
      <w:r w:rsidR="00AD21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 powodów </w:t>
      </w:r>
      <w:r>
        <w:rPr>
          <w:rFonts w:ascii="Times New Roman" w:hAnsi="Times New Roman"/>
          <w:sz w:val="24"/>
          <w:szCs w:val="24"/>
        </w:rPr>
        <w:lastRenderedPageBreak/>
        <w:t>ideologicznych</w:t>
      </w:r>
      <w:r w:rsidR="00AD2157">
        <w:rPr>
          <w:rFonts w:ascii="Times New Roman" w:hAnsi="Times New Roman"/>
          <w:sz w:val="24"/>
          <w:szCs w:val="24"/>
        </w:rPr>
        <w:t>, stosują tego typu metody.</w:t>
      </w:r>
      <w:r>
        <w:rPr>
          <w:rFonts w:ascii="Times New Roman" w:hAnsi="Times New Roman"/>
          <w:sz w:val="24"/>
          <w:szCs w:val="24"/>
        </w:rPr>
        <w:t xml:space="preserve"> </w:t>
      </w:r>
      <w:r w:rsidR="00AD2157">
        <w:rPr>
          <w:rFonts w:ascii="Times New Roman" w:hAnsi="Times New Roman"/>
          <w:sz w:val="24"/>
          <w:szCs w:val="24"/>
        </w:rPr>
        <w:t>Wyrażamy również</w:t>
      </w:r>
      <w:r>
        <w:rPr>
          <w:rFonts w:ascii="Times New Roman" w:hAnsi="Times New Roman"/>
          <w:sz w:val="24"/>
          <w:szCs w:val="24"/>
        </w:rPr>
        <w:t xml:space="preserve"> solidar</w:t>
      </w:r>
      <w:r w:rsidR="00AD2157">
        <w:rPr>
          <w:rFonts w:ascii="Times New Roman" w:hAnsi="Times New Roman"/>
          <w:sz w:val="24"/>
          <w:szCs w:val="24"/>
        </w:rPr>
        <w:t>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AD2157">
        <w:rPr>
          <w:rFonts w:ascii="Times New Roman" w:hAnsi="Times New Roman"/>
          <w:sz w:val="24"/>
          <w:szCs w:val="24"/>
        </w:rPr>
        <w:t>z sądami konstytucyjnymi</w:t>
      </w:r>
      <w:r>
        <w:rPr>
          <w:rFonts w:ascii="Times New Roman" w:hAnsi="Times New Roman"/>
          <w:sz w:val="24"/>
          <w:szCs w:val="24"/>
        </w:rPr>
        <w:t xml:space="preserve"> taki</w:t>
      </w:r>
      <w:r w:rsidR="00AD2157">
        <w:rPr>
          <w:rFonts w:ascii="Times New Roman" w:hAnsi="Times New Roman"/>
          <w:sz w:val="24"/>
          <w:szCs w:val="24"/>
        </w:rPr>
        <w:t>ch państw</w:t>
      </w:r>
      <w:r>
        <w:rPr>
          <w:rFonts w:ascii="Times New Roman" w:hAnsi="Times New Roman"/>
          <w:sz w:val="24"/>
          <w:szCs w:val="24"/>
        </w:rPr>
        <w:t xml:space="preserve"> jak Niemcy, Francja czy Rumunia, któr</w:t>
      </w:r>
      <w:r w:rsidR="00AD2157">
        <w:rPr>
          <w:rFonts w:ascii="Times New Roman" w:hAnsi="Times New Roman"/>
          <w:sz w:val="24"/>
          <w:szCs w:val="24"/>
        </w:rPr>
        <w:t xml:space="preserve">e tylko w tym roku </w:t>
      </w:r>
      <w:r>
        <w:rPr>
          <w:rFonts w:ascii="Times New Roman" w:hAnsi="Times New Roman"/>
          <w:sz w:val="24"/>
          <w:szCs w:val="24"/>
        </w:rPr>
        <w:t>potwierdziły rzecz</w:t>
      </w:r>
      <w:r w:rsidR="00AD2157">
        <w:rPr>
          <w:rFonts w:ascii="Times New Roman" w:hAnsi="Times New Roman"/>
          <w:sz w:val="24"/>
          <w:szCs w:val="24"/>
        </w:rPr>
        <w:t xml:space="preserve"> do niedawna</w:t>
      </w:r>
      <w:r>
        <w:rPr>
          <w:rFonts w:ascii="Times New Roman" w:hAnsi="Times New Roman"/>
          <w:sz w:val="24"/>
          <w:szCs w:val="24"/>
        </w:rPr>
        <w:t xml:space="preserve"> oczywistą, a więc nadrzędność krajowych konstytucji ponad prawem unijnym</w:t>
      </w:r>
      <w:r w:rsidR="00AD2157">
        <w:rPr>
          <w:rFonts w:ascii="Times New Roman" w:hAnsi="Times New Roman"/>
          <w:sz w:val="24"/>
          <w:szCs w:val="24"/>
        </w:rPr>
        <w:t xml:space="preserve">, za co stały </w:t>
      </w:r>
      <w:r w:rsidR="00E13EFC">
        <w:rPr>
          <w:rFonts w:ascii="Times New Roman" w:hAnsi="Times New Roman"/>
          <w:sz w:val="24"/>
          <w:szCs w:val="24"/>
        </w:rPr>
        <w:t xml:space="preserve">się </w:t>
      </w:r>
      <w:r w:rsidR="00AD2157">
        <w:rPr>
          <w:rFonts w:ascii="Times New Roman" w:hAnsi="Times New Roman"/>
          <w:sz w:val="24"/>
          <w:szCs w:val="24"/>
        </w:rPr>
        <w:t>ze strony Komisji Europejskiej a także poszczególnych sędziów Trybunał</w:t>
      </w:r>
      <w:r w:rsidR="001A7EFD">
        <w:rPr>
          <w:rFonts w:ascii="Times New Roman" w:hAnsi="Times New Roman"/>
          <w:sz w:val="24"/>
          <w:szCs w:val="24"/>
        </w:rPr>
        <w:t>u</w:t>
      </w:r>
      <w:r w:rsidR="00AD2157">
        <w:rPr>
          <w:rFonts w:ascii="Times New Roman" w:hAnsi="Times New Roman"/>
          <w:sz w:val="24"/>
          <w:szCs w:val="24"/>
        </w:rPr>
        <w:t xml:space="preserve"> Sprawiedliwości Unii Europejskiej,</w:t>
      </w:r>
      <w:r w:rsidR="00E13EFC">
        <w:rPr>
          <w:rFonts w:ascii="Times New Roman" w:hAnsi="Times New Roman"/>
          <w:sz w:val="24"/>
          <w:szCs w:val="24"/>
        </w:rPr>
        <w:t xml:space="preserve"> obiektem</w:t>
      </w:r>
      <w:r w:rsidR="00AD2157">
        <w:rPr>
          <w:rFonts w:ascii="Times New Roman" w:hAnsi="Times New Roman"/>
          <w:sz w:val="24"/>
          <w:szCs w:val="24"/>
        </w:rPr>
        <w:t xml:space="preserve"> bezpardonowych prób złamania niezależności </w:t>
      </w:r>
      <w:r w:rsidR="00403786">
        <w:rPr>
          <w:rFonts w:ascii="Times New Roman" w:hAnsi="Times New Roman"/>
          <w:sz w:val="24"/>
          <w:szCs w:val="24"/>
        </w:rPr>
        <w:t xml:space="preserve">tych sądów </w:t>
      </w:r>
      <w:r w:rsidR="00AD2157">
        <w:rPr>
          <w:rFonts w:ascii="Times New Roman" w:hAnsi="Times New Roman"/>
          <w:sz w:val="24"/>
          <w:szCs w:val="24"/>
        </w:rPr>
        <w:t>i sędziowskiej niezawisłości.</w:t>
      </w:r>
    </w:p>
    <w:p w14:paraId="5C8D89A0" w14:textId="77777777" w:rsidR="009E5D97" w:rsidRDefault="009E5D97" w:rsidP="009E5D9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Unia zmierzająca w kierunku </w:t>
      </w:r>
      <w:proofErr w:type="spellStart"/>
      <w:r>
        <w:rPr>
          <w:rFonts w:ascii="Times New Roman" w:hAnsi="Times New Roman"/>
          <w:sz w:val="24"/>
          <w:szCs w:val="24"/>
        </w:rPr>
        <w:t>monoideowego</w:t>
      </w:r>
      <w:proofErr w:type="spellEnd"/>
      <w:r>
        <w:rPr>
          <w:rFonts w:ascii="Times New Roman" w:hAnsi="Times New Roman"/>
          <w:sz w:val="24"/>
          <w:szCs w:val="24"/>
        </w:rPr>
        <w:t xml:space="preserve">, monokulturowego superpaństwa będzie tracić kolejnych członków. Unia szanująca traktaty, suwerenność państw członkowskich </w:t>
      </w:r>
      <w:r>
        <w:rPr>
          <w:rFonts w:ascii="Times New Roman" w:hAnsi="Times New Roman"/>
          <w:sz w:val="24"/>
          <w:szCs w:val="24"/>
        </w:rPr>
        <w:br/>
        <w:t>i budująca jedność w oparciu o kulturową różnorodność rozkwitnie i rozszerzy się o nowe państwa.</w:t>
      </w:r>
    </w:p>
    <w:p w14:paraId="1950C830" w14:textId="26B8FA02" w:rsidR="00B14090" w:rsidRDefault="009E5D97" w:rsidP="004037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Komisja do </w:t>
      </w:r>
      <w:r w:rsidR="00A47D7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praw Unii Europejskiej zwraca się do Ministra do spraw Unii Europejskiej o przekazanie</w:t>
      </w:r>
      <w:r w:rsidR="00403786">
        <w:rPr>
          <w:rFonts w:ascii="Times New Roman" w:hAnsi="Times New Roman"/>
          <w:sz w:val="24"/>
          <w:szCs w:val="24"/>
        </w:rPr>
        <w:t xml:space="preserve"> niniejszego dezyderatu</w:t>
      </w:r>
      <w:r>
        <w:rPr>
          <w:rFonts w:ascii="Times New Roman" w:hAnsi="Times New Roman"/>
          <w:sz w:val="24"/>
          <w:szCs w:val="24"/>
        </w:rPr>
        <w:t xml:space="preserve"> Zarządowi Konferencji o Przyszłości Europy</w:t>
      </w:r>
      <w:r w:rsidR="00E66BB4">
        <w:rPr>
          <w:rFonts w:ascii="Times New Roman" w:hAnsi="Times New Roman"/>
          <w:sz w:val="24"/>
          <w:szCs w:val="24"/>
        </w:rPr>
        <w:t xml:space="preserve"> oraz właściwym odpowiednikom Pana Ministra w Niemczech, Francji oraz Rumunii</w:t>
      </w:r>
      <w:r>
        <w:rPr>
          <w:rFonts w:ascii="Times New Roman" w:hAnsi="Times New Roman"/>
          <w:sz w:val="24"/>
          <w:szCs w:val="24"/>
        </w:rPr>
        <w:t xml:space="preserve"> </w:t>
      </w:r>
      <w:r w:rsidR="00E66BB4">
        <w:rPr>
          <w:rFonts w:ascii="Times New Roman" w:hAnsi="Times New Roman"/>
          <w:sz w:val="24"/>
          <w:szCs w:val="24"/>
        </w:rPr>
        <w:t>i podjęcie innych stosownych działań mających na celu ochronę unijnych traktatów przed ich dalszymi naruszeniami ze strony Komisji Europejskiej oraz Trybunał</w:t>
      </w:r>
      <w:r w:rsidR="00E13EFC">
        <w:rPr>
          <w:rFonts w:ascii="Times New Roman" w:hAnsi="Times New Roman"/>
          <w:sz w:val="24"/>
          <w:szCs w:val="24"/>
        </w:rPr>
        <w:t>u</w:t>
      </w:r>
      <w:r w:rsidR="00E66BB4">
        <w:rPr>
          <w:rFonts w:ascii="Times New Roman" w:hAnsi="Times New Roman"/>
          <w:sz w:val="24"/>
          <w:szCs w:val="24"/>
        </w:rPr>
        <w:t xml:space="preserve"> Sprawiedliwości Unii Europejskiej.</w:t>
      </w:r>
    </w:p>
    <w:p w14:paraId="215BE563" w14:textId="5D7BC574" w:rsidR="005278FF" w:rsidRDefault="005278FF" w:rsidP="004037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52DFB6" w14:textId="40FD0870" w:rsidR="005278FF" w:rsidRDefault="005278FF" w:rsidP="005278FF">
      <w:pPr>
        <w:spacing w:after="0" w:line="360" w:lineRule="auto"/>
        <w:ind w:firstLine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Anita Czerwińska</w:t>
      </w:r>
    </w:p>
    <w:p w14:paraId="6A2D9BB5" w14:textId="61353E83" w:rsidR="005278FF" w:rsidRPr="00403786" w:rsidRDefault="003D16E9" w:rsidP="005278FF">
      <w:pPr>
        <w:spacing w:after="0" w:line="360" w:lineRule="auto"/>
        <w:ind w:firstLine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/-/ </w:t>
      </w:r>
      <w:r w:rsidR="005278FF">
        <w:rPr>
          <w:rFonts w:ascii="Times New Roman" w:hAnsi="Times New Roman"/>
          <w:sz w:val="24"/>
          <w:szCs w:val="24"/>
        </w:rPr>
        <w:t>Z-ca Przewodniczącego</w:t>
      </w:r>
      <w:r w:rsidR="00BC2F2B">
        <w:rPr>
          <w:rFonts w:ascii="Times New Roman" w:hAnsi="Times New Roman"/>
          <w:sz w:val="24"/>
          <w:szCs w:val="24"/>
        </w:rPr>
        <w:t xml:space="preserve"> Komisji</w:t>
      </w:r>
    </w:p>
    <w:sectPr w:rsidR="005278FF" w:rsidRPr="00403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E6"/>
    <w:rsid w:val="00186945"/>
    <w:rsid w:val="001A7EFD"/>
    <w:rsid w:val="001B21E6"/>
    <w:rsid w:val="002F3729"/>
    <w:rsid w:val="003D16E9"/>
    <w:rsid w:val="00403786"/>
    <w:rsid w:val="005278FF"/>
    <w:rsid w:val="0062755B"/>
    <w:rsid w:val="00707590"/>
    <w:rsid w:val="00734484"/>
    <w:rsid w:val="007C5784"/>
    <w:rsid w:val="009E5D97"/>
    <w:rsid w:val="00A47D75"/>
    <w:rsid w:val="00AD2157"/>
    <w:rsid w:val="00B14090"/>
    <w:rsid w:val="00BC2F2B"/>
    <w:rsid w:val="00E13EFC"/>
    <w:rsid w:val="00E6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23FA"/>
  <w15:chartTrackingRefBased/>
  <w15:docId w15:val="{47FA1A90-119F-4DB0-A049-231F848A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9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Płażyński</dc:creator>
  <cp:keywords/>
  <dc:description/>
  <cp:lastModifiedBy>Magdalena M. Skrzyńska</cp:lastModifiedBy>
  <cp:revision>2</cp:revision>
  <cp:lastPrinted>2021-07-22T07:36:00Z</cp:lastPrinted>
  <dcterms:created xsi:type="dcterms:W3CDTF">2021-08-11T10:24:00Z</dcterms:created>
  <dcterms:modified xsi:type="dcterms:W3CDTF">2021-08-11T10:24:00Z</dcterms:modified>
</cp:coreProperties>
</file>