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06" w:rsidRDefault="00FC63BA">
      <w:pPr>
        <w:spacing w:after="390" w:line="216" w:lineRule="auto"/>
        <w:ind w:left="0" w:firstLine="0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Pytania na egzamin dyplomowy z przedmiotu Pr</w:t>
      </w:r>
      <w:r w:rsidR="00092606">
        <w:rPr>
          <w:sz w:val="22"/>
        </w:rPr>
        <w:t>awo i postępowanie</w:t>
      </w:r>
      <w:r>
        <w:rPr>
          <w:sz w:val="22"/>
        </w:rPr>
        <w:t xml:space="preserve"> administracyjne </w:t>
      </w:r>
    </w:p>
    <w:p w:rsidR="003914C9" w:rsidRDefault="00FC63BA">
      <w:pPr>
        <w:spacing w:after="390" w:line="216" w:lineRule="auto"/>
        <w:ind w:left="0" w:firstLine="0"/>
        <w:jc w:val="center"/>
        <w:rPr>
          <w:sz w:val="22"/>
        </w:rPr>
      </w:pPr>
      <w:r>
        <w:rPr>
          <w:sz w:val="22"/>
        </w:rPr>
        <w:t xml:space="preserve">kierunek PRAWO </w:t>
      </w:r>
    </w:p>
    <w:p w:rsidR="00092606" w:rsidRDefault="00092606">
      <w:pPr>
        <w:spacing w:after="390" w:line="216" w:lineRule="auto"/>
        <w:ind w:left="0" w:firstLine="0"/>
        <w:jc w:val="center"/>
        <w:rPr>
          <w:sz w:val="22"/>
        </w:rPr>
      </w:pPr>
      <w:r>
        <w:rPr>
          <w:sz w:val="22"/>
        </w:rPr>
        <w:t>Cz. I Prawo administracyjne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Pojęcie i normy prawa administracyjnego.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Rodzaje przepisów prawa administracyjnego (materialne, ustrojowe i procesowe).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Zasada legalności (związania prawem).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Zakres związania administracji publicznej prawem.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Zakaz retroakcji w prawie administracyjnym i wyjątki od tego zakazu. </w:t>
      </w:r>
    </w:p>
    <w:p w:rsidR="00097E8E" w:rsidRDefault="00097E8E" w:rsidP="00097E8E">
      <w:pPr>
        <w:numPr>
          <w:ilvl w:val="0"/>
          <w:numId w:val="2"/>
        </w:numPr>
        <w:spacing w:after="16" w:line="266" w:lineRule="auto"/>
        <w:ind w:hanging="360"/>
      </w:pPr>
      <w:r>
        <w:t xml:space="preserve">Realizacja zasady podziału władz publicznych w prawie administracyjnym.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Decentralizacja administracji publicznej. </w:t>
      </w:r>
    </w:p>
    <w:p w:rsidR="00097E8E" w:rsidRDefault="00097E8E" w:rsidP="00097E8E">
      <w:pPr>
        <w:numPr>
          <w:ilvl w:val="0"/>
          <w:numId w:val="2"/>
        </w:numPr>
        <w:spacing w:after="13" w:line="266" w:lineRule="auto"/>
        <w:ind w:hanging="360"/>
      </w:pPr>
      <w:r>
        <w:t xml:space="preserve">Pojęcia niedookreślone (nieostre) w prawie administracyjnym.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Uznanie administracyjne. </w:t>
      </w:r>
    </w:p>
    <w:p w:rsidR="00097E8E" w:rsidRDefault="00097E8E" w:rsidP="00097E8E">
      <w:pPr>
        <w:numPr>
          <w:ilvl w:val="0"/>
          <w:numId w:val="2"/>
        </w:numPr>
        <w:spacing w:after="15" w:line="266" w:lineRule="auto"/>
        <w:ind w:hanging="360"/>
      </w:pPr>
      <w:r>
        <w:t xml:space="preserve">Swobodna ocena dowodów organu administracji. </w:t>
      </w:r>
    </w:p>
    <w:p w:rsidR="00097E8E" w:rsidRDefault="00097E8E" w:rsidP="00097E8E">
      <w:pPr>
        <w:numPr>
          <w:ilvl w:val="0"/>
          <w:numId w:val="2"/>
        </w:numPr>
        <w:spacing w:after="13" w:line="266" w:lineRule="auto"/>
        <w:ind w:hanging="360"/>
      </w:pPr>
      <w:r>
        <w:t xml:space="preserve">Stosunek administracyjnoprawny.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Elementy stosunku administracyjnoprawnego.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Ustawa jako źródło prawa administracyjnego – określające prawa i obowiązki jednostki. </w:t>
      </w:r>
    </w:p>
    <w:p w:rsidR="00097E8E" w:rsidRDefault="00097E8E" w:rsidP="00097E8E">
      <w:pPr>
        <w:numPr>
          <w:ilvl w:val="0"/>
          <w:numId w:val="2"/>
        </w:numPr>
        <w:spacing w:after="29" w:line="266" w:lineRule="auto"/>
        <w:ind w:hanging="360"/>
      </w:pPr>
      <w:r>
        <w:t xml:space="preserve">Źródła prawa UE i ich stosowanie przez krajową administrację publiczną.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Rozporządzenia – organy uprawnione do ich ustanowienia. </w:t>
      </w:r>
    </w:p>
    <w:p w:rsidR="00097E8E" w:rsidRDefault="00097E8E" w:rsidP="00097E8E">
      <w:pPr>
        <w:numPr>
          <w:ilvl w:val="0"/>
          <w:numId w:val="2"/>
        </w:numPr>
        <w:spacing w:after="13" w:line="266" w:lineRule="auto"/>
        <w:ind w:hanging="360"/>
      </w:pPr>
      <w:r>
        <w:t xml:space="preserve">Wytyczne do wydania rozporządzenia.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Akty prawa miejscowego. </w:t>
      </w:r>
    </w:p>
    <w:p w:rsidR="00097E8E" w:rsidRDefault="00097E8E" w:rsidP="00097E8E">
      <w:pPr>
        <w:numPr>
          <w:ilvl w:val="0"/>
          <w:numId w:val="2"/>
        </w:numPr>
        <w:spacing w:after="15" w:line="266" w:lineRule="auto"/>
        <w:ind w:hanging="360"/>
      </w:pPr>
      <w:r>
        <w:t xml:space="preserve">Źródła prawa wewnętrznie obowiązującego. </w:t>
      </w:r>
    </w:p>
    <w:p w:rsidR="00097E8E" w:rsidRDefault="00097E8E" w:rsidP="00097E8E">
      <w:pPr>
        <w:numPr>
          <w:ilvl w:val="0"/>
          <w:numId w:val="2"/>
        </w:numPr>
        <w:spacing w:after="13" w:line="266" w:lineRule="auto"/>
        <w:ind w:hanging="360"/>
      </w:pPr>
      <w:r>
        <w:t xml:space="preserve">Organ administracji publicznej.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Zadania organu administracji publicznej.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Zakres działania organu administracji publicznej. </w:t>
      </w:r>
    </w:p>
    <w:p w:rsidR="00097E8E" w:rsidRDefault="00097E8E" w:rsidP="00097E8E">
      <w:pPr>
        <w:numPr>
          <w:ilvl w:val="0"/>
          <w:numId w:val="2"/>
        </w:numPr>
        <w:spacing w:after="22" w:line="266" w:lineRule="auto"/>
        <w:ind w:hanging="360"/>
      </w:pPr>
      <w:r>
        <w:t xml:space="preserve">Właściwość organu administracji publicznej.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Akt administracyjny – pojęcie – adresaci aktu administracyjnego.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Rodzaje aktów administracyjnych. </w:t>
      </w:r>
    </w:p>
    <w:p w:rsidR="00097E8E" w:rsidRDefault="00097E8E" w:rsidP="00097E8E">
      <w:pPr>
        <w:numPr>
          <w:ilvl w:val="0"/>
          <w:numId w:val="2"/>
        </w:numPr>
        <w:spacing w:after="13" w:line="266" w:lineRule="auto"/>
        <w:ind w:hanging="360"/>
      </w:pPr>
      <w:r>
        <w:t xml:space="preserve">Czynności </w:t>
      </w:r>
      <w:proofErr w:type="spellStart"/>
      <w:r>
        <w:t>materialno</w:t>
      </w:r>
      <w:proofErr w:type="spellEnd"/>
      <w:r>
        <w:t xml:space="preserve"> – techniczne. </w:t>
      </w:r>
    </w:p>
    <w:p w:rsidR="00097E8E" w:rsidRDefault="00097E8E" w:rsidP="00097E8E">
      <w:pPr>
        <w:numPr>
          <w:ilvl w:val="0"/>
          <w:numId w:val="2"/>
        </w:numPr>
        <w:spacing w:after="15" w:line="266" w:lineRule="auto"/>
        <w:ind w:hanging="360"/>
      </w:pPr>
      <w:r>
        <w:t xml:space="preserve">Umowy administracyjne i porozumienia.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Kontrola administracji publicznej i jej rodzaje. </w:t>
      </w:r>
    </w:p>
    <w:p w:rsidR="00097E8E" w:rsidRDefault="00097E8E" w:rsidP="00097E8E">
      <w:pPr>
        <w:numPr>
          <w:ilvl w:val="0"/>
          <w:numId w:val="2"/>
        </w:numPr>
        <w:spacing w:after="33" w:line="266" w:lineRule="auto"/>
        <w:ind w:hanging="360"/>
      </w:pPr>
      <w:r>
        <w:lastRenderedPageBreak/>
        <w:t xml:space="preserve">Kontrola wewnętrzna administracji publicznej.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Kontrola zewnętrzna administracji publicznej.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Kontrola społeczna i obywatelska administracji publicznej. </w:t>
      </w:r>
    </w:p>
    <w:p w:rsidR="00097E8E" w:rsidRDefault="00097E8E" w:rsidP="00097E8E">
      <w:pPr>
        <w:numPr>
          <w:ilvl w:val="0"/>
          <w:numId w:val="2"/>
        </w:numPr>
        <w:spacing w:after="54" w:line="266" w:lineRule="auto"/>
        <w:ind w:hanging="360"/>
      </w:pPr>
      <w:r>
        <w:t xml:space="preserve">Sądowa kontrola administracji publicznej. </w:t>
      </w:r>
    </w:p>
    <w:p w:rsidR="00097E8E" w:rsidRDefault="00097E8E" w:rsidP="00097E8E">
      <w:pPr>
        <w:numPr>
          <w:ilvl w:val="0"/>
          <w:numId w:val="2"/>
        </w:numPr>
        <w:spacing w:after="209" w:line="266" w:lineRule="auto"/>
        <w:ind w:hanging="360"/>
      </w:pPr>
      <w:r>
        <w:t xml:space="preserve">Nadzór nad administracją – kryteria, środki nadzoru. </w:t>
      </w:r>
    </w:p>
    <w:p w:rsidR="00092606" w:rsidRDefault="00092606" w:rsidP="00092606">
      <w:pPr>
        <w:spacing w:after="390" w:line="216" w:lineRule="auto"/>
        <w:ind w:left="0" w:firstLine="0"/>
        <w:jc w:val="both"/>
        <w:rPr>
          <w:sz w:val="22"/>
        </w:rPr>
      </w:pPr>
    </w:p>
    <w:p w:rsidR="00092606" w:rsidRDefault="00092606">
      <w:pPr>
        <w:spacing w:after="390" w:line="216" w:lineRule="auto"/>
        <w:ind w:left="0" w:firstLine="0"/>
        <w:jc w:val="center"/>
      </w:pPr>
      <w:r>
        <w:rPr>
          <w:sz w:val="22"/>
        </w:rPr>
        <w:t>Część II Postępowanie administracyjne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Zakres regulacji i obowiązywania Kodeksu postępowania administracyjnego (Kpa),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Organ administracji publicznej wg Kpa,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Organy wyższego stopnia wg Kpa,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Strona postępowania administracyjnego,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Podmioty na prawach strony i inni uczestnicy postępowania administracyjnego,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Pojęcie i rodzaje właściwości organu administracji publicznej wg Kpa,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Zasady określania właściwości rzeczowej,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Zasady określania właściwości miejscowej i funkcjonalnej,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Powody i zasady wyłączenia organów z postępowania,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Powody i zasady wyłączenia pracowników od udziału w postępowaniu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Zasady wszczynania postępowania,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Wymogi formalne podania w sprawie administracyjnej i skutki ich niedochowania,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Postępowanie z podaniami wniesionymi do organu niewłaściwego,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Pojęcie, charakter i funkcje zasad ogólnych postępowania administracyjnego,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Zasada legalności i zasada praworządności,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Zasada proporcjonalności i zasada wyważania interesów,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Zasada prawdy obiektywnej i zasada bezstronności,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Zasada informowania i zasada przekonywania,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Zasada czynnego udziału stron w postępowaniu,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Zasada dwuinstancyjności,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Zasada pisemności i zasada szybkości postępowania,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Zasada trwałości ostatecznych decyzji i sądowej kontroli decyzji administracyjnych,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Terminowość załatwiania spraw.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Podstawowe zasady doręczanie pism,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Podstawowe zasady wzywania do udziału w postępowaniu,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Podstawowe zasady obliczania i dotrzymywania terminów, </w:t>
      </w:r>
    </w:p>
    <w:p w:rsidR="003914C9" w:rsidRDefault="00FC63BA">
      <w:pPr>
        <w:numPr>
          <w:ilvl w:val="0"/>
          <w:numId w:val="1"/>
        </w:numPr>
        <w:ind w:hanging="763"/>
      </w:pPr>
      <w:r>
        <w:lastRenderedPageBreak/>
        <w:t xml:space="preserve">Podstawowe zasady protokołowania i udostępniania akt stronom,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Pojęcie i zasady przeprowadzania postępowania dowodowego,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Środki dowodowe i ich rodzaje, domniemania i uprawdopodobnienia,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Dowód ze świadka,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Przeprowadzanie dowodu z opinii biegłego oraz dowód z oględzin,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Rozprawa administracyjna,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Obowiązek współdziałania z innym organem,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Zawieszenie postępowania,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Bezprzedmiotowość i umorzenie postępowania,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Decyzja administracyjna - cechy przesądzające o istnieniu i obowiązywaniu decyzji,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Wymogi formalne decyzji,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Wykonalność decyzji nieostatecznych i rygor ich natychmiastowej wykonalności,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Uzupełnianie, prostowanie i wyjaśnianie decyzji,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Ugoda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Zwykłe środki prawne - postępowanie odwoławcze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Zakres kompetencji decyzyjnych organów odwoławczych i zasady ich realizacji,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Zaskarżalność i weryfikacja postanowień wydawanych w toku postępowania,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Wznowienie postępowania administracyjnego,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Stwierdzenie nieważności decyzji,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Sposoby wzruszania ostatecznych decyzji administracyjnych,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Zasady ustalania i ponoszenia kosztów postępowania administracyjnego, </w:t>
      </w:r>
    </w:p>
    <w:p w:rsidR="003914C9" w:rsidRDefault="00FC63BA">
      <w:pPr>
        <w:numPr>
          <w:ilvl w:val="0"/>
          <w:numId w:val="1"/>
        </w:numPr>
        <w:ind w:hanging="763"/>
      </w:pPr>
      <w:r>
        <w:t xml:space="preserve">Zasady postępowania w sprawach wydawania zaświadczeń. </w:t>
      </w:r>
    </w:p>
    <w:sectPr w:rsidR="003914C9">
      <w:pgSz w:w="11900" w:h="16840"/>
      <w:pgMar w:top="1440" w:right="1517" w:bottom="1440" w:left="13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37A1"/>
    <w:multiLevelType w:val="hybridMultilevel"/>
    <w:tmpl w:val="D9EA7046"/>
    <w:lvl w:ilvl="0" w:tplc="C3B690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6C8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C86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4BA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E2D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EF7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C5E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C7B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676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B75AFE"/>
    <w:multiLevelType w:val="hybridMultilevel"/>
    <w:tmpl w:val="2348F9D6"/>
    <w:lvl w:ilvl="0" w:tplc="2EC0F476">
      <w:start w:val="1"/>
      <w:numFmt w:val="decimal"/>
      <w:lvlText w:val="%1."/>
      <w:lvlJc w:val="left"/>
      <w:pPr>
        <w:ind w:left="76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52D65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ACBBBE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EEB8AE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C0ABE0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212B2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6AA7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9E795C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0E7A6A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C9"/>
    <w:rsid w:val="00092606"/>
    <w:rsid w:val="00097E8E"/>
    <w:rsid w:val="003914C9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A7358-A5CE-4C56-A556-161A10F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</w:pPr>
    <w:rPr>
      <w:rFonts w:ascii="Arial Unicode MS" w:eastAsia="Arial Unicode MS" w:hAnsi="Arial Unicode MS" w:cs="Arial Unicode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adm. Prawo</vt:lpstr>
    </vt:vector>
  </TitlesOfParts>
  <Company>Hewlett-Packard Company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adm. Prawo</dc:title>
  <dc:subject/>
  <dc:creator>uwb</dc:creator>
  <cp:keywords/>
  <cp:lastModifiedBy>Dariusz Kijowski</cp:lastModifiedBy>
  <cp:revision>2</cp:revision>
  <dcterms:created xsi:type="dcterms:W3CDTF">2021-02-25T09:20:00Z</dcterms:created>
  <dcterms:modified xsi:type="dcterms:W3CDTF">2021-02-25T09:20:00Z</dcterms:modified>
</cp:coreProperties>
</file>